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/>
          <w:bCs/>
          <w:color w:val="000000"/>
          <w:spacing w:val="2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/>
          <w:bCs/>
          <w:color w:val="000000"/>
          <w:spacing w:val="2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/>
          <w:bCs/>
          <w:color w:val="000000"/>
          <w:spacing w:val="20"/>
          <w:kern w:val="2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pacing w:val="20"/>
          <w:kern w:val="2"/>
          <w:sz w:val="44"/>
          <w:szCs w:val="44"/>
          <w:lang w:val="en-US" w:eastAsia="zh-CN"/>
        </w:rPr>
        <w:t>关于申报2020年全省党校（行政学院）系统重点课题的通知</w:t>
      </w:r>
    </w:p>
    <w:p>
      <w:pPr>
        <w:widowControl w:val="0"/>
        <w:ind w:firstLine="644" w:firstLineChars="200"/>
        <w:rPr>
          <w:rFonts w:ascii="仿宋_GB2312" w:hAnsi="黑体" w:eastAsia="仿宋_GB2312"/>
          <w:sz w:val="34"/>
          <w:szCs w:val="3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各省辖市委党校（行政学院）、省直工委党校，校（院）各处室、直属单位：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4" w:firstLineChars="200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为深入学习习近平新时代中国特色社会主义思想，全面贯彻党的十九大和十九届二中、三中、四中全会精神，发挥全省党校（行政学院）系统整体优势，着力推出一批高质量研究成果，服务加快建设现代化五大发展美好安徽。经校（院）委会同意，现就发布2020年全省党校（行政学院）系统重点课题通知如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4" w:firstLineChars="200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一、选题指南规定研究方向和范围，申报人可据此设计具体题目。超出选题方向和范围的，请勿申报。课题完成时限为一年，自批准立项之日起算，不接受延期申请，逾期不结项者作撤项处理。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4" w:firstLineChars="200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二、课题研究成果形成学术论文或调研报告，需在公开学术期刊上发表且署“2020年安徽省党校（行政学院）系统重点课题成果”；形成的咨政报告，需由同级及以上党委政府领导肯定性批示或其内参采用。为规范科研行为，提高成果质量，参照相关单位，制定负面清单，对在负面清单发文的，一律不予结项认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4" w:firstLineChars="200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三、课题负责人只能申报一项课题，且不能作为课题组成员参与其他课题申报。在研全省党校（行政学院）系统重点课题（含专项课题）的负责人不能申报。省委党校（安徽行政学院）正高级专业技术职务人员、在研2个（含）以上课题人员、课题延期人员不鼓励申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4" w:firstLineChars="200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四、省委党校（安徽行政学院）各部门限报2项，市级党校（行政学院）限报6项，县（市、区）党校限报2项。市级党校（行政学院）统一报送本单位及其业务指导的县级党校（含直管县）申报材料。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4" w:firstLineChars="200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五、申请人如实填报《课题申报书》《论证活页》，下载地址：http://www.ahdx.gov.cn/—通知公告栏。使用计算机填写、A4纸双面印制。申报截止时间为2020年6月28日，逾期不予受理。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4" w:firstLineChars="200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六、各单位要认真做好申报材料的审查工作，重点审查申报资料的真实性、课题组研究条件和实力、申报工作规范性等。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4" w:firstLineChars="200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七、受理申报材料邮箱：ahdxkyc@126.com，邮件需注明“XX党校（行政学院）申报2020年课题”。纸制材料各1份寄送至：中共安徽省委党校（安徽行政学院）科研处，合肥市屯溪路301号教学综合楼914室，邮编：230022。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4" w:firstLineChars="200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4" w:firstLineChars="200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联系人：陈明明，联系电话：0551-62173589。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4" w:firstLineChars="200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4" w:firstLineChars="200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附件：2020年全省党校（行政学院）系统重点课题选题指南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2416" w:firstLineChars="800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2416" w:firstLineChars="800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2416" w:firstLineChars="800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 xml:space="preserve">  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 xml:space="preserve">         </w:t>
      </w:r>
      <w:r>
        <w:rPr>
          <w:rFonts w:hint="eastAsia" w:ascii="仿宋_GB2312" w:hAnsi="黑体" w:eastAsia="仿宋_GB2312"/>
          <w:sz w:val="32"/>
          <w:szCs w:val="32"/>
        </w:rPr>
        <w:t>中共安徽省委党校（安徽行政学院）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4" w:firstLineChars="200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 xml:space="preserve">                     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 xml:space="preserve">          </w:t>
      </w:r>
      <w:bookmarkStart w:id="0" w:name="_GoBack"/>
      <w:bookmarkEnd w:id="0"/>
      <w:r>
        <w:rPr>
          <w:rFonts w:ascii="仿宋_GB2312" w:hAnsi="黑体" w:eastAsia="仿宋_GB2312"/>
          <w:sz w:val="32"/>
          <w:szCs w:val="32"/>
        </w:rPr>
        <w:t>2020</w:t>
      </w:r>
      <w:r>
        <w:rPr>
          <w:rFonts w:hint="eastAsia" w:ascii="仿宋_GB2312" w:hAnsi="黑体" w:eastAsia="仿宋_GB2312"/>
          <w:sz w:val="32"/>
          <w:szCs w:val="32"/>
        </w:rPr>
        <w:t>年</w:t>
      </w:r>
      <w:r>
        <w:rPr>
          <w:rFonts w:ascii="仿宋_GB2312" w:hAnsi="黑体" w:eastAsia="仿宋_GB2312"/>
          <w:sz w:val="32"/>
          <w:szCs w:val="32"/>
        </w:rPr>
        <w:t>5</w:t>
      </w:r>
      <w:r>
        <w:rPr>
          <w:rFonts w:hint="eastAsia" w:ascii="仿宋_GB2312" w:hAnsi="黑体" w:eastAsia="仿宋_GB2312"/>
          <w:sz w:val="32"/>
          <w:szCs w:val="32"/>
        </w:rPr>
        <w:t>月27日</w:t>
      </w:r>
      <w:r>
        <w:rPr>
          <w:rFonts w:ascii="仿宋_GB2312" w:hAnsi="黑体" w:eastAsia="仿宋_GB2312"/>
          <w:sz w:val="32"/>
          <w:szCs w:val="32"/>
        </w:rPr>
        <w:t>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outlineLvl w:val="9"/>
        <w:rPr>
          <w:rFonts w:ascii="仿宋_GB2312" w:hAnsi="黑体" w:eastAsia="仿宋_GB2312"/>
          <w:sz w:val="34"/>
          <w:szCs w:val="34"/>
        </w:rPr>
      </w:pPr>
      <w:r>
        <w:rPr>
          <w:rFonts w:ascii="仿宋_GB2312" w:hAnsi="黑体" w:eastAsia="仿宋_GB2312"/>
          <w:sz w:val="34"/>
          <w:szCs w:val="34"/>
        </w:rPr>
        <w:br w:type="page"/>
      </w:r>
    </w:p>
    <w:p>
      <w:pPr>
        <w:widowControl w:val="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widowControl w:val="0"/>
        <w:rPr>
          <w:rFonts w:ascii="黑体" w:hAnsi="黑体" w:eastAsia="黑体" w:cs="黑体"/>
          <w:sz w:val="32"/>
          <w:szCs w:val="32"/>
        </w:rPr>
      </w:pPr>
    </w:p>
    <w:p>
      <w:pPr>
        <w:widowControl w:val="0"/>
        <w:jc w:val="center"/>
        <w:rPr>
          <w:rFonts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2020年全省党校（行政学院）系统重点课题</w:t>
      </w:r>
    </w:p>
    <w:p>
      <w:pPr>
        <w:widowControl w:val="0"/>
        <w:jc w:val="center"/>
        <w:rPr>
          <w:rFonts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选题指南</w:t>
      </w:r>
    </w:p>
    <w:p>
      <w:pPr>
        <w:widowControl w:val="0"/>
        <w:ind w:firstLine="604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一、习近平新时代中国特色社会主义思想研究</w:t>
      </w:r>
    </w:p>
    <w:p>
      <w:pPr>
        <w:widowControl w:val="0"/>
        <w:ind w:firstLine="604" w:firstLineChars="20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1.习近平新时代中国特色社会主义思想科学体系研究</w:t>
      </w:r>
    </w:p>
    <w:p>
      <w:pPr>
        <w:widowControl w:val="0"/>
        <w:ind w:firstLine="604" w:firstLineChars="20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2.习近平新时代中国特色社会主义思想原创性贡献研究</w:t>
      </w:r>
    </w:p>
    <w:p>
      <w:pPr>
        <w:widowControl w:val="0"/>
        <w:ind w:firstLine="604" w:firstLineChars="20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3.习近平总书记关于新时代开展伟大斗争重要论述研究</w:t>
      </w:r>
    </w:p>
    <w:p>
      <w:pPr>
        <w:widowControl w:val="0"/>
        <w:ind w:firstLine="604" w:firstLineChars="20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4.习近平总书记关于坚持以人民为中心重要论述研究</w:t>
      </w:r>
    </w:p>
    <w:p>
      <w:pPr>
        <w:widowControl w:val="0"/>
        <w:ind w:firstLine="604" w:firstLineChars="20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5.习近平总书记关于坚持和完善中国特色社会主义制度、推进国家治理体系和治理能力现代化重要论述研究</w:t>
      </w:r>
    </w:p>
    <w:p>
      <w:pPr>
        <w:widowControl w:val="0"/>
        <w:ind w:firstLine="604" w:firstLineChars="20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6.习近平总书记关于建设现代化经济体系重要论述研究</w:t>
      </w:r>
    </w:p>
    <w:p>
      <w:pPr>
        <w:widowControl w:val="0"/>
        <w:ind w:firstLine="604" w:firstLineChars="20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7.习近平总书记关于脱贫攻坚重要论述研究</w:t>
      </w:r>
    </w:p>
    <w:p>
      <w:pPr>
        <w:widowControl w:val="0"/>
        <w:ind w:firstLine="604" w:firstLineChars="20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8.习近平总书记关于坚持和完善人民代表大会制度重要论述研究</w:t>
      </w:r>
    </w:p>
    <w:p>
      <w:pPr>
        <w:widowControl w:val="0"/>
        <w:ind w:firstLine="604" w:firstLineChars="20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9.习近平总书记关于社会主义文化建设重要论述研究</w:t>
      </w:r>
    </w:p>
    <w:p>
      <w:pPr>
        <w:widowControl w:val="0"/>
        <w:ind w:firstLine="604" w:firstLineChars="20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10.习近平总书记关于加强和创新社会治理重要论述研究</w:t>
      </w:r>
    </w:p>
    <w:p>
      <w:pPr>
        <w:widowControl w:val="0"/>
        <w:ind w:firstLine="604" w:firstLineChars="20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11.习近平生态文明思想研究</w:t>
      </w:r>
    </w:p>
    <w:p>
      <w:pPr>
        <w:widowControl w:val="0"/>
        <w:ind w:firstLine="604" w:firstLineChars="20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12.习近平总书记关于总体国家安全观重要论述研究</w:t>
      </w:r>
    </w:p>
    <w:p>
      <w:pPr>
        <w:widowControl w:val="0"/>
        <w:ind w:firstLine="604" w:firstLineChars="20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13.习近平总书记关于网络强国战略重要论述研究</w:t>
      </w:r>
    </w:p>
    <w:p>
      <w:pPr>
        <w:widowControl w:val="0"/>
        <w:ind w:firstLine="604" w:firstLineChars="20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14.习近平总书记关于新时代党的建设重要论述研究</w:t>
      </w:r>
    </w:p>
    <w:p>
      <w:pPr>
        <w:widowControl w:val="0"/>
        <w:ind w:firstLine="604" w:firstLineChars="20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15.习近平总书记关于党校办学治校系列重要指示精神研究</w:t>
      </w:r>
    </w:p>
    <w:p>
      <w:pPr>
        <w:widowControl w:val="0"/>
        <w:ind w:firstLine="604" w:firstLineChars="200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二、党史党建</w:t>
      </w:r>
    </w:p>
    <w:p>
      <w:pPr>
        <w:widowControl w:val="0"/>
        <w:ind w:firstLine="604" w:firstLineChars="20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16.中国共产党百年历史进程和基本经验研究</w:t>
      </w:r>
    </w:p>
    <w:p>
      <w:pPr>
        <w:widowControl w:val="0"/>
        <w:ind w:firstLine="604" w:firstLineChars="20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17.中国共产党红色文化资源传承利用研究</w:t>
      </w:r>
    </w:p>
    <w:p>
      <w:pPr>
        <w:widowControl w:val="0"/>
        <w:ind w:firstLine="604" w:firstLineChars="20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18.“红二十五军”与“红二十八军”历史研究</w:t>
      </w:r>
    </w:p>
    <w:p>
      <w:pPr>
        <w:widowControl w:val="0"/>
        <w:ind w:firstLine="604" w:firstLineChars="20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19.鄂豫皖苏区红色政权研究</w:t>
      </w:r>
    </w:p>
    <w:p>
      <w:pPr>
        <w:widowControl w:val="0"/>
        <w:ind w:firstLine="604" w:firstLineChars="20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20.抓党建促乡村振兴研究</w:t>
      </w:r>
    </w:p>
    <w:p>
      <w:pPr>
        <w:widowControl w:val="0"/>
        <w:ind w:firstLine="604" w:firstLineChars="20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21.党建引领信用村建设研究</w:t>
      </w:r>
    </w:p>
    <w:p>
      <w:pPr>
        <w:widowControl w:val="0"/>
        <w:ind w:firstLine="604" w:firstLineChars="20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22.党政领导干部队伍提升研究</w:t>
      </w:r>
    </w:p>
    <w:p>
      <w:pPr>
        <w:widowControl w:val="0"/>
        <w:ind w:firstLine="604" w:firstLineChars="20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23.新时代基层干部担当作为激励机制研究</w:t>
      </w:r>
    </w:p>
    <w:p>
      <w:pPr>
        <w:widowControl w:val="0"/>
        <w:ind w:firstLine="604" w:firstLineChars="20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24.党建推进模范机关建设机制与路径研究</w:t>
      </w:r>
    </w:p>
    <w:p>
      <w:pPr>
        <w:widowControl w:val="0"/>
        <w:ind w:firstLine="604" w:firstLineChars="200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三、经济发展</w:t>
      </w:r>
    </w:p>
    <w:p>
      <w:pPr>
        <w:widowControl w:val="0"/>
        <w:ind w:firstLine="604" w:firstLineChars="20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25.“十四五”安徽经济发展战略研究</w:t>
      </w:r>
    </w:p>
    <w:p>
      <w:pPr>
        <w:widowControl w:val="0"/>
        <w:ind w:firstLine="604" w:firstLineChars="20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26.长三角一体化经济高质量发展研究</w:t>
      </w:r>
    </w:p>
    <w:p>
      <w:pPr>
        <w:widowControl w:val="0"/>
        <w:ind w:firstLine="604" w:firstLineChars="20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27.安徽工业经济实现高质量发展研究</w:t>
      </w:r>
    </w:p>
    <w:p>
      <w:pPr>
        <w:widowControl w:val="0"/>
        <w:ind w:firstLine="604" w:firstLineChars="20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28.安徽经济技术开发区创新机制研究</w:t>
      </w:r>
    </w:p>
    <w:p>
      <w:pPr>
        <w:widowControl w:val="0"/>
        <w:ind w:firstLine="604" w:firstLineChars="20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29.安徽县域经济高质量发展研究</w:t>
      </w:r>
    </w:p>
    <w:p>
      <w:pPr>
        <w:widowControl w:val="0"/>
        <w:ind w:firstLine="604" w:firstLineChars="20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30.G60科创走廊技术创新政策评价研究</w:t>
      </w:r>
    </w:p>
    <w:p>
      <w:pPr>
        <w:widowControl w:val="0"/>
        <w:ind w:firstLine="604" w:firstLineChars="20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31.区块链技术应用与产业发展研究</w:t>
      </w:r>
    </w:p>
    <w:p>
      <w:pPr>
        <w:widowControl w:val="0"/>
        <w:ind w:firstLine="604" w:firstLineChars="20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32.新冠肺炎疫情下消费驱动经济增长研究</w:t>
      </w:r>
    </w:p>
    <w:p>
      <w:pPr>
        <w:widowControl w:val="0"/>
        <w:ind w:firstLine="604" w:firstLineChars="200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四、政治与法律</w:t>
      </w:r>
    </w:p>
    <w:p>
      <w:pPr>
        <w:widowControl w:val="0"/>
        <w:ind w:firstLine="604" w:firstLineChars="20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33.制度治党与政党治理现代化研究</w:t>
      </w:r>
    </w:p>
    <w:p>
      <w:pPr>
        <w:widowControl w:val="0"/>
        <w:ind w:firstLine="604" w:firstLineChars="20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34.国家治理体系与法治现代化研究</w:t>
      </w:r>
    </w:p>
    <w:p>
      <w:pPr>
        <w:widowControl w:val="0"/>
        <w:ind w:firstLine="604" w:firstLineChars="20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35.健全保证宪法法律全面实施的体制机制研究</w:t>
      </w:r>
    </w:p>
    <w:p>
      <w:pPr>
        <w:widowControl w:val="0"/>
        <w:ind w:firstLine="604" w:firstLineChars="20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36.突发公共事件法律制度完善研究</w:t>
      </w:r>
    </w:p>
    <w:p>
      <w:pPr>
        <w:widowControl w:val="0"/>
        <w:ind w:firstLine="604" w:firstLineChars="20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37.促进军民融合的法律制度研究</w:t>
      </w:r>
    </w:p>
    <w:p>
      <w:pPr>
        <w:widowControl w:val="0"/>
        <w:ind w:firstLine="604" w:firstLineChars="20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38.基层领导干部法治思维能力建设</w:t>
      </w:r>
    </w:p>
    <w:p>
      <w:pPr>
        <w:widowControl w:val="0"/>
        <w:ind w:firstLine="604" w:firstLineChars="20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39.安徽地方立法历史经验研究</w:t>
      </w:r>
    </w:p>
    <w:p>
      <w:pPr>
        <w:widowControl w:val="0"/>
        <w:ind w:firstLine="604" w:firstLineChars="20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40.增强人民群众法治获得感研究</w:t>
      </w:r>
    </w:p>
    <w:p>
      <w:pPr>
        <w:widowControl w:val="0"/>
        <w:ind w:firstLine="604" w:firstLineChars="200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五、社会与文化</w:t>
      </w:r>
    </w:p>
    <w:p>
      <w:pPr>
        <w:widowControl w:val="0"/>
        <w:ind w:firstLine="604" w:firstLineChars="20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41.“十四五”安徽文化产业发展战略研究</w:t>
      </w:r>
    </w:p>
    <w:p>
      <w:pPr>
        <w:widowControl w:val="0"/>
        <w:ind w:firstLine="604" w:firstLineChars="20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42.新时代文明实践中心与社会治理研究</w:t>
      </w:r>
    </w:p>
    <w:p>
      <w:pPr>
        <w:widowControl w:val="0"/>
        <w:ind w:firstLine="604" w:firstLineChars="20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43.新媒体时代突发公共卫生事件网络舆情治理研究</w:t>
      </w:r>
    </w:p>
    <w:p>
      <w:pPr>
        <w:widowControl w:val="0"/>
        <w:ind w:firstLine="604" w:firstLineChars="20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44.疫情防治与完善社区管理研究</w:t>
      </w:r>
    </w:p>
    <w:p>
      <w:pPr>
        <w:widowControl w:val="0"/>
        <w:ind w:firstLine="604" w:firstLineChars="20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45.基于数据技术驱动的社会治理研究</w:t>
      </w:r>
    </w:p>
    <w:p>
      <w:pPr>
        <w:widowControl w:val="0"/>
        <w:ind w:firstLine="604" w:firstLineChars="20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46.志愿服务嵌入农村相对贫困治理研究</w:t>
      </w:r>
    </w:p>
    <w:p>
      <w:pPr>
        <w:widowControl w:val="0"/>
        <w:ind w:firstLine="604" w:firstLineChars="20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47.城乡融合中农村养老问题研究</w:t>
      </w:r>
    </w:p>
    <w:p>
      <w:pPr>
        <w:widowControl w:val="0"/>
        <w:ind w:firstLine="604" w:firstLineChars="20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48.安徽试点垃圾分类管理研究</w:t>
      </w:r>
    </w:p>
    <w:p>
      <w:pPr>
        <w:widowControl w:val="0"/>
        <w:ind w:firstLine="604" w:firstLineChars="20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49.安徽推进林长制改革研究</w:t>
      </w:r>
    </w:p>
    <w:p>
      <w:pPr>
        <w:widowControl w:val="0"/>
        <w:ind w:firstLine="604" w:firstLineChars="20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50.安徽编制周转池制度的理论与实践研究</w:t>
      </w:r>
    </w:p>
    <w:p>
      <w:pPr>
        <w:widowControl w:val="0"/>
        <w:ind w:firstLine="604" w:firstLineChars="20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 xml:space="preserve">51.网络意识形态下地方传统文化认同研究 </w:t>
      </w:r>
    </w:p>
    <w:p>
      <w:pPr>
        <w:widowControl w:val="0"/>
        <w:ind w:firstLine="604" w:firstLineChars="200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六、咨政研究</w:t>
      </w:r>
    </w:p>
    <w:p>
      <w:pPr>
        <w:widowControl w:val="0"/>
        <w:ind w:firstLine="604" w:firstLineChars="20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52.新时代人大代表作用发挥机制研究</w:t>
      </w:r>
    </w:p>
    <w:p>
      <w:pPr>
        <w:widowControl w:val="0"/>
        <w:ind w:firstLine="604" w:firstLineChars="20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53.安徽省协商民主作用发挥研究</w:t>
      </w:r>
    </w:p>
    <w:p>
      <w:pPr>
        <w:widowControl w:val="0"/>
        <w:ind w:firstLine="604" w:firstLineChars="20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54.基层协商民主运行机制研究</w:t>
      </w:r>
    </w:p>
    <w:p>
      <w:pPr>
        <w:widowControl w:val="0"/>
        <w:ind w:firstLine="604" w:firstLineChars="20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55.主流媒体政治功能研究</w:t>
      </w:r>
    </w:p>
    <w:p>
      <w:pPr>
        <w:widowControl w:val="0"/>
        <w:ind w:firstLine="604" w:firstLineChars="20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56.政府信息发布研究</w:t>
      </w:r>
    </w:p>
    <w:p>
      <w:pPr>
        <w:widowControl w:val="0"/>
        <w:ind w:firstLine="604" w:firstLineChars="20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57.对外交流合作中中国特色话语体系建设研究</w:t>
      </w:r>
    </w:p>
    <w:p>
      <w:pPr>
        <w:widowControl w:val="0"/>
        <w:ind w:firstLine="604" w:firstLineChars="20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58.安徽建设内陆创新开放型经济试验区研究</w:t>
      </w:r>
    </w:p>
    <w:p>
      <w:pPr>
        <w:widowControl w:val="0"/>
        <w:ind w:firstLine="604" w:firstLineChars="20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59.合肥滨湖科学城建设路径与对策研究</w:t>
      </w:r>
    </w:p>
    <w:p>
      <w:pPr>
        <w:widowControl w:val="0"/>
        <w:ind w:firstLine="604" w:firstLineChars="20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60.“十四五”安徽经济与国防建设高质量融合发展研究</w:t>
      </w:r>
    </w:p>
    <w:p>
      <w:pPr>
        <w:widowControl w:val="0"/>
        <w:ind w:firstLine="604" w:firstLineChars="20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61.长三角区域能源互联网创新发展研究</w:t>
      </w:r>
    </w:p>
    <w:p>
      <w:pPr>
        <w:widowControl w:val="0"/>
        <w:ind w:firstLine="604" w:firstLineChars="20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62.长三角联合创新、成果转化推动一体化高质量发展基地建设研究</w:t>
      </w:r>
    </w:p>
    <w:p>
      <w:pPr>
        <w:widowControl w:val="0"/>
        <w:ind w:firstLine="604" w:firstLineChars="20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63.优化法治化营商环境研究</w:t>
      </w:r>
    </w:p>
    <w:p>
      <w:pPr>
        <w:widowControl w:val="0"/>
        <w:ind w:firstLine="604" w:firstLineChars="20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64.人民群众参与和促进法治建设研究</w:t>
      </w:r>
    </w:p>
    <w:p>
      <w:pPr>
        <w:widowControl w:val="0"/>
        <w:ind w:firstLine="604" w:firstLineChars="200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七、案例研究</w:t>
      </w:r>
    </w:p>
    <w:p>
      <w:pPr>
        <w:widowControl w:val="0"/>
        <w:ind w:firstLine="604" w:firstLineChars="200"/>
        <w:jc w:val="left"/>
        <w:rPr>
          <w:rFonts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</w:rPr>
        <w:t>65.统筹疫情防控和经济社会发展案例研究</w:t>
      </w:r>
    </w:p>
    <w:p>
      <w:pPr>
        <w:widowControl w:val="0"/>
        <w:ind w:firstLine="604" w:firstLineChars="200"/>
        <w:jc w:val="left"/>
        <w:rPr>
          <w:rFonts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</w:rPr>
        <w:t>66.“三个以案”警示教育案例研究</w:t>
      </w:r>
    </w:p>
    <w:p>
      <w:pPr>
        <w:widowControl w:val="0"/>
        <w:ind w:firstLine="604" w:firstLineChars="200"/>
        <w:jc w:val="left"/>
        <w:rPr>
          <w:rFonts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</w:rPr>
        <w:t>67.生态环境损害赔偿制度改革案例研究</w:t>
      </w:r>
    </w:p>
    <w:p>
      <w:pPr>
        <w:widowControl w:val="0"/>
        <w:ind w:firstLine="604" w:firstLineChars="200"/>
        <w:jc w:val="left"/>
        <w:rPr>
          <w:rFonts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</w:rPr>
        <w:t>68.生态补偿机制案例研究</w:t>
      </w:r>
    </w:p>
    <w:p>
      <w:pPr>
        <w:widowControl w:val="0"/>
        <w:ind w:firstLine="604" w:firstLineChars="200"/>
        <w:jc w:val="left"/>
        <w:rPr>
          <w:rFonts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</w:rPr>
        <w:t>69.培育安徽世界级先进制造业集群案例研究</w:t>
      </w:r>
    </w:p>
    <w:p>
      <w:pPr>
        <w:widowControl w:val="0"/>
        <w:ind w:firstLine="604" w:firstLineChars="200"/>
        <w:jc w:val="left"/>
        <w:rPr>
          <w:rFonts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</w:rPr>
        <w:t>70.市场经济中的商业模式创新案例研究</w:t>
      </w:r>
    </w:p>
    <w:p>
      <w:pPr>
        <w:widowControl w:val="0"/>
        <w:ind w:firstLine="604" w:firstLineChars="200"/>
        <w:jc w:val="left"/>
        <w:rPr>
          <w:rFonts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</w:rPr>
        <w:t>71.文旅产业发展案例研究</w:t>
      </w:r>
    </w:p>
    <w:p>
      <w:pPr>
        <w:widowControl w:val="0"/>
        <w:ind w:firstLine="604" w:firstLineChars="200"/>
        <w:jc w:val="left"/>
        <w:rPr>
          <w:rFonts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</w:rPr>
        <w:t>72.</w:t>
      </w:r>
      <w:r>
        <w:rPr>
          <w:rFonts w:hint="eastAsia"/>
          <w:color w:val="auto"/>
          <w:sz w:val="32"/>
          <w:szCs w:val="32"/>
        </w:rPr>
        <w:t xml:space="preserve"> 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乡村振兴案例研究</w:t>
      </w:r>
    </w:p>
    <w:p>
      <w:pPr>
        <w:widowControl w:val="0"/>
        <w:ind w:firstLine="604" w:firstLineChars="200"/>
        <w:jc w:val="left"/>
        <w:rPr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</w:rPr>
        <w:t>73.**县（乡、村）摆脱贫困的启示研究</w:t>
      </w:r>
    </w:p>
    <w:sectPr>
      <w:footerReference r:id="rId3" w:type="default"/>
      <w:pgSz w:w="11906" w:h="16838"/>
      <w:pgMar w:top="2041" w:right="1531" w:bottom="1531" w:left="1531" w:header="851" w:footer="992" w:gutter="0"/>
      <w:paperSrc/>
      <w:pgNumType w:fmt="decimal"/>
      <w:cols w:space="0" w:num="1"/>
      <w:rtlGutter w:val="0"/>
      <w:docGrid w:type="linesAndChars" w:linePitch="326" w:charSpace="-387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rPr>
        <w:sz w:val="18"/>
      </w:rPr>
      <w:pict>
        <v:shape id="_x0000_s3073" o:spid="_x0000_s3073" o:spt="202" type="#_x0000_t202" style="position:absolute;left:0pt;margin-top:-2.5pt;height:144pt;width:144pt;mso-position-horizontal:outside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sdt>
                <w:sdtPr>
                  <w:id w:val="1880736522"/>
                </w:sdtPr>
                <w:sdtContent>
                  <w:p>
                    <w:pPr>
                      <w:pStyle w:val="5"/>
                      <w:jc w:val="center"/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  <w:lang w:val="zh-CN"/>
                      </w:rPr>
                      <w:t>8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sdtContent>
              </w:sdt>
              <w:p/>
            </w:txbxContent>
          </v:textbox>
        </v:shape>
      </w:pict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11"/>
  <w:drawingGridVerticalSpacing w:val="163"/>
  <w:displayHorizontalDrawingGridEvery w:val="2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03B70"/>
    <w:rsid w:val="0000393D"/>
    <w:rsid w:val="00011F9E"/>
    <w:rsid w:val="00014B2F"/>
    <w:rsid w:val="00020986"/>
    <w:rsid w:val="00023C4F"/>
    <w:rsid w:val="000249BE"/>
    <w:rsid w:val="0002784D"/>
    <w:rsid w:val="00035EBD"/>
    <w:rsid w:val="00037B50"/>
    <w:rsid w:val="0004050F"/>
    <w:rsid w:val="000447F3"/>
    <w:rsid w:val="00045A6B"/>
    <w:rsid w:val="0005068A"/>
    <w:rsid w:val="0005104B"/>
    <w:rsid w:val="000517DB"/>
    <w:rsid w:val="00051BBF"/>
    <w:rsid w:val="000561AE"/>
    <w:rsid w:val="0006112F"/>
    <w:rsid w:val="000625DE"/>
    <w:rsid w:val="00063582"/>
    <w:rsid w:val="00063EDD"/>
    <w:rsid w:val="000661CD"/>
    <w:rsid w:val="00067807"/>
    <w:rsid w:val="00082257"/>
    <w:rsid w:val="00082EF5"/>
    <w:rsid w:val="00093008"/>
    <w:rsid w:val="000956B7"/>
    <w:rsid w:val="000A05B4"/>
    <w:rsid w:val="000B08E5"/>
    <w:rsid w:val="000B30CF"/>
    <w:rsid w:val="000B69C6"/>
    <w:rsid w:val="000B7A9D"/>
    <w:rsid w:val="000C2303"/>
    <w:rsid w:val="000C4C93"/>
    <w:rsid w:val="000C53FD"/>
    <w:rsid w:val="000C5490"/>
    <w:rsid w:val="000C5DFC"/>
    <w:rsid w:val="000D2667"/>
    <w:rsid w:val="000D5154"/>
    <w:rsid w:val="000D6195"/>
    <w:rsid w:val="000E6D24"/>
    <w:rsid w:val="000F70D0"/>
    <w:rsid w:val="00102071"/>
    <w:rsid w:val="0010428D"/>
    <w:rsid w:val="00110F1B"/>
    <w:rsid w:val="00111020"/>
    <w:rsid w:val="00111772"/>
    <w:rsid w:val="00121BE5"/>
    <w:rsid w:val="00124B12"/>
    <w:rsid w:val="00124B65"/>
    <w:rsid w:val="001271F5"/>
    <w:rsid w:val="00133DA6"/>
    <w:rsid w:val="0013640C"/>
    <w:rsid w:val="001401C3"/>
    <w:rsid w:val="00142390"/>
    <w:rsid w:val="00144144"/>
    <w:rsid w:val="0014465E"/>
    <w:rsid w:val="00145B4E"/>
    <w:rsid w:val="00145D98"/>
    <w:rsid w:val="00155CFD"/>
    <w:rsid w:val="0016712A"/>
    <w:rsid w:val="00171FEB"/>
    <w:rsid w:val="00173815"/>
    <w:rsid w:val="00174CFC"/>
    <w:rsid w:val="00176E83"/>
    <w:rsid w:val="001802A6"/>
    <w:rsid w:val="001852B2"/>
    <w:rsid w:val="00191123"/>
    <w:rsid w:val="001919C3"/>
    <w:rsid w:val="00195DD7"/>
    <w:rsid w:val="001A1B59"/>
    <w:rsid w:val="001B59CE"/>
    <w:rsid w:val="001C5B8F"/>
    <w:rsid w:val="001C6039"/>
    <w:rsid w:val="001D0A53"/>
    <w:rsid w:val="001D4677"/>
    <w:rsid w:val="001E3C11"/>
    <w:rsid w:val="001F0436"/>
    <w:rsid w:val="001F0805"/>
    <w:rsid w:val="00203BB2"/>
    <w:rsid w:val="00205F46"/>
    <w:rsid w:val="00210A6E"/>
    <w:rsid w:val="002419CF"/>
    <w:rsid w:val="002451B8"/>
    <w:rsid w:val="002458F2"/>
    <w:rsid w:val="0024593B"/>
    <w:rsid w:val="0025308C"/>
    <w:rsid w:val="00253E08"/>
    <w:rsid w:val="0026144F"/>
    <w:rsid w:val="00264665"/>
    <w:rsid w:val="0027186E"/>
    <w:rsid w:val="00275E62"/>
    <w:rsid w:val="002774C1"/>
    <w:rsid w:val="00280C84"/>
    <w:rsid w:val="00282522"/>
    <w:rsid w:val="0028787F"/>
    <w:rsid w:val="00291D6D"/>
    <w:rsid w:val="002925BD"/>
    <w:rsid w:val="0029720C"/>
    <w:rsid w:val="002A0213"/>
    <w:rsid w:val="002A7148"/>
    <w:rsid w:val="002B0814"/>
    <w:rsid w:val="002B112D"/>
    <w:rsid w:val="002C2A5D"/>
    <w:rsid w:val="002C5883"/>
    <w:rsid w:val="002C7BE0"/>
    <w:rsid w:val="002C7D85"/>
    <w:rsid w:val="002D41CE"/>
    <w:rsid w:val="002E0A43"/>
    <w:rsid w:val="002E1C19"/>
    <w:rsid w:val="002E388B"/>
    <w:rsid w:val="002E611C"/>
    <w:rsid w:val="002F0C9A"/>
    <w:rsid w:val="002F58F5"/>
    <w:rsid w:val="002F62B5"/>
    <w:rsid w:val="002F6558"/>
    <w:rsid w:val="00300405"/>
    <w:rsid w:val="00310624"/>
    <w:rsid w:val="00312454"/>
    <w:rsid w:val="003125F3"/>
    <w:rsid w:val="00315082"/>
    <w:rsid w:val="003174C4"/>
    <w:rsid w:val="003178AC"/>
    <w:rsid w:val="00337A77"/>
    <w:rsid w:val="00341BB4"/>
    <w:rsid w:val="003428B9"/>
    <w:rsid w:val="003519BB"/>
    <w:rsid w:val="00365143"/>
    <w:rsid w:val="00395102"/>
    <w:rsid w:val="003A2BD2"/>
    <w:rsid w:val="003B02D2"/>
    <w:rsid w:val="003B1473"/>
    <w:rsid w:val="003B6FCE"/>
    <w:rsid w:val="003C0435"/>
    <w:rsid w:val="003C40DB"/>
    <w:rsid w:val="003C6B21"/>
    <w:rsid w:val="003C6E64"/>
    <w:rsid w:val="003D3245"/>
    <w:rsid w:val="003D6494"/>
    <w:rsid w:val="003E66FD"/>
    <w:rsid w:val="003E6CDD"/>
    <w:rsid w:val="003E7CAD"/>
    <w:rsid w:val="003F3661"/>
    <w:rsid w:val="00401C0C"/>
    <w:rsid w:val="0040281D"/>
    <w:rsid w:val="00411731"/>
    <w:rsid w:val="0042058F"/>
    <w:rsid w:val="00421A9B"/>
    <w:rsid w:val="004260C6"/>
    <w:rsid w:val="00434C78"/>
    <w:rsid w:val="0043547E"/>
    <w:rsid w:val="00436998"/>
    <w:rsid w:val="00440B1E"/>
    <w:rsid w:val="004457E0"/>
    <w:rsid w:val="00456D69"/>
    <w:rsid w:val="004603A4"/>
    <w:rsid w:val="00460C5B"/>
    <w:rsid w:val="0046126E"/>
    <w:rsid w:val="004616D3"/>
    <w:rsid w:val="00466D11"/>
    <w:rsid w:val="00477B2D"/>
    <w:rsid w:val="00485D73"/>
    <w:rsid w:val="00486638"/>
    <w:rsid w:val="004869FD"/>
    <w:rsid w:val="004914BF"/>
    <w:rsid w:val="00491BC2"/>
    <w:rsid w:val="004A4BB6"/>
    <w:rsid w:val="004A4F07"/>
    <w:rsid w:val="004A6911"/>
    <w:rsid w:val="004A7F74"/>
    <w:rsid w:val="004B08F6"/>
    <w:rsid w:val="004B16D0"/>
    <w:rsid w:val="004B4F70"/>
    <w:rsid w:val="004B534A"/>
    <w:rsid w:val="004B5B44"/>
    <w:rsid w:val="004B6540"/>
    <w:rsid w:val="004C7B3B"/>
    <w:rsid w:val="004E2D63"/>
    <w:rsid w:val="004E31CE"/>
    <w:rsid w:val="004E4459"/>
    <w:rsid w:val="004F50B2"/>
    <w:rsid w:val="004F7CD9"/>
    <w:rsid w:val="00501163"/>
    <w:rsid w:val="00504FFC"/>
    <w:rsid w:val="00506BE9"/>
    <w:rsid w:val="00515847"/>
    <w:rsid w:val="00530274"/>
    <w:rsid w:val="00532E99"/>
    <w:rsid w:val="00535FDD"/>
    <w:rsid w:val="00536168"/>
    <w:rsid w:val="00543DD0"/>
    <w:rsid w:val="00543F19"/>
    <w:rsid w:val="00544BFE"/>
    <w:rsid w:val="00553616"/>
    <w:rsid w:val="00553EED"/>
    <w:rsid w:val="00563D39"/>
    <w:rsid w:val="00564268"/>
    <w:rsid w:val="00565550"/>
    <w:rsid w:val="00565B48"/>
    <w:rsid w:val="00570236"/>
    <w:rsid w:val="005747DB"/>
    <w:rsid w:val="005828D9"/>
    <w:rsid w:val="00584248"/>
    <w:rsid w:val="005849A4"/>
    <w:rsid w:val="00585E6C"/>
    <w:rsid w:val="00587B37"/>
    <w:rsid w:val="00593C30"/>
    <w:rsid w:val="005946C2"/>
    <w:rsid w:val="005A786A"/>
    <w:rsid w:val="005B2D71"/>
    <w:rsid w:val="005B5D2F"/>
    <w:rsid w:val="005B72F4"/>
    <w:rsid w:val="005C6B7A"/>
    <w:rsid w:val="005D0345"/>
    <w:rsid w:val="005E216F"/>
    <w:rsid w:val="005E6077"/>
    <w:rsid w:val="005E6D47"/>
    <w:rsid w:val="005E7563"/>
    <w:rsid w:val="005F1856"/>
    <w:rsid w:val="005F232C"/>
    <w:rsid w:val="005F39BC"/>
    <w:rsid w:val="005F4ABA"/>
    <w:rsid w:val="00603D7C"/>
    <w:rsid w:val="00604C52"/>
    <w:rsid w:val="0060537C"/>
    <w:rsid w:val="006058F7"/>
    <w:rsid w:val="00621176"/>
    <w:rsid w:val="006226D5"/>
    <w:rsid w:val="00624A45"/>
    <w:rsid w:val="00631CB7"/>
    <w:rsid w:val="00640DA9"/>
    <w:rsid w:val="00641358"/>
    <w:rsid w:val="00643425"/>
    <w:rsid w:val="0065074F"/>
    <w:rsid w:val="00653D30"/>
    <w:rsid w:val="00655B6C"/>
    <w:rsid w:val="0066166E"/>
    <w:rsid w:val="0066440D"/>
    <w:rsid w:val="00675B70"/>
    <w:rsid w:val="0067629E"/>
    <w:rsid w:val="00693767"/>
    <w:rsid w:val="006945A2"/>
    <w:rsid w:val="006946DB"/>
    <w:rsid w:val="00694D63"/>
    <w:rsid w:val="0069541E"/>
    <w:rsid w:val="006967E0"/>
    <w:rsid w:val="006B5E46"/>
    <w:rsid w:val="006B6F00"/>
    <w:rsid w:val="006C147D"/>
    <w:rsid w:val="006E66DD"/>
    <w:rsid w:val="006E755F"/>
    <w:rsid w:val="006F6559"/>
    <w:rsid w:val="00700187"/>
    <w:rsid w:val="007010EE"/>
    <w:rsid w:val="00704236"/>
    <w:rsid w:val="00712F66"/>
    <w:rsid w:val="00713B76"/>
    <w:rsid w:val="007179FB"/>
    <w:rsid w:val="0072281F"/>
    <w:rsid w:val="007233D7"/>
    <w:rsid w:val="0072441C"/>
    <w:rsid w:val="00725512"/>
    <w:rsid w:val="00736898"/>
    <w:rsid w:val="007401FE"/>
    <w:rsid w:val="00744605"/>
    <w:rsid w:val="007473F0"/>
    <w:rsid w:val="00754095"/>
    <w:rsid w:val="0076270A"/>
    <w:rsid w:val="007636D2"/>
    <w:rsid w:val="007661CA"/>
    <w:rsid w:val="00774A3F"/>
    <w:rsid w:val="007764C1"/>
    <w:rsid w:val="0078422C"/>
    <w:rsid w:val="0078568D"/>
    <w:rsid w:val="00787643"/>
    <w:rsid w:val="0078788B"/>
    <w:rsid w:val="00791B69"/>
    <w:rsid w:val="00795925"/>
    <w:rsid w:val="007B5A1E"/>
    <w:rsid w:val="007C0D62"/>
    <w:rsid w:val="007C0D79"/>
    <w:rsid w:val="007C3738"/>
    <w:rsid w:val="007C3920"/>
    <w:rsid w:val="007C437C"/>
    <w:rsid w:val="007C50B3"/>
    <w:rsid w:val="007D2D8C"/>
    <w:rsid w:val="007D3131"/>
    <w:rsid w:val="007D6A47"/>
    <w:rsid w:val="007D6DE4"/>
    <w:rsid w:val="007D7115"/>
    <w:rsid w:val="007E044D"/>
    <w:rsid w:val="007E45A6"/>
    <w:rsid w:val="007F2121"/>
    <w:rsid w:val="00801DCA"/>
    <w:rsid w:val="00810760"/>
    <w:rsid w:val="0081168E"/>
    <w:rsid w:val="008123FB"/>
    <w:rsid w:val="00820B54"/>
    <w:rsid w:val="00823AAF"/>
    <w:rsid w:val="0082571F"/>
    <w:rsid w:val="00832F6C"/>
    <w:rsid w:val="00833D01"/>
    <w:rsid w:val="008345AC"/>
    <w:rsid w:val="00835393"/>
    <w:rsid w:val="00840E28"/>
    <w:rsid w:val="008475DE"/>
    <w:rsid w:val="008476FD"/>
    <w:rsid w:val="008520B9"/>
    <w:rsid w:val="00853124"/>
    <w:rsid w:val="0085457F"/>
    <w:rsid w:val="008550E8"/>
    <w:rsid w:val="008676A1"/>
    <w:rsid w:val="008723EB"/>
    <w:rsid w:val="0087613C"/>
    <w:rsid w:val="00885CEA"/>
    <w:rsid w:val="00891D4A"/>
    <w:rsid w:val="00896C40"/>
    <w:rsid w:val="008A58F4"/>
    <w:rsid w:val="008C0AC2"/>
    <w:rsid w:val="008C315E"/>
    <w:rsid w:val="008D0639"/>
    <w:rsid w:val="008D2F41"/>
    <w:rsid w:val="008E3F98"/>
    <w:rsid w:val="008F210F"/>
    <w:rsid w:val="008F2406"/>
    <w:rsid w:val="008F26C6"/>
    <w:rsid w:val="008F6826"/>
    <w:rsid w:val="009006A2"/>
    <w:rsid w:val="009247D6"/>
    <w:rsid w:val="00925CB7"/>
    <w:rsid w:val="00925E2B"/>
    <w:rsid w:val="00935515"/>
    <w:rsid w:val="0093551C"/>
    <w:rsid w:val="00935732"/>
    <w:rsid w:val="00941FF6"/>
    <w:rsid w:val="00942AC7"/>
    <w:rsid w:val="00945005"/>
    <w:rsid w:val="00946345"/>
    <w:rsid w:val="0094703C"/>
    <w:rsid w:val="00952BF0"/>
    <w:rsid w:val="009541DF"/>
    <w:rsid w:val="009565AC"/>
    <w:rsid w:val="00957DF8"/>
    <w:rsid w:val="009627B3"/>
    <w:rsid w:val="00963165"/>
    <w:rsid w:val="00964B3F"/>
    <w:rsid w:val="00966586"/>
    <w:rsid w:val="009719B0"/>
    <w:rsid w:val="009814C5"/>
    <w:rsid w:val="0098385D"/>
    <w:rsid w:val="009841D0"/>
    <w:rsid w:val="009A0900"/>
    <w:rsid w:val="009A29EA"/>
    <w:rsid w:val="009A3AC7"/>
    <w:rsid w:val="009B1A5C"/>
    <w:rsid w:val="009B262D"/>
    <w:rsid w:val="009B400D"/>
    <w:rsid w:val="009C1A0A"/>
    <w:rsid w:val="009C2CB8"/>
    <w:rsid w:val="009C44CE"/>
    <w:rsid w:val="009D009A"/>
    <w:rsid w:val="009E1A2F"/>
    <w:rsid w:val="009E3268"/>
    <w:rsid w:val="009E4A4E"/>
    <w:rsid w:val="009F6E0F"/>
    <w:rsid w:val="009F72F3"/>
    <w:rsid w:val="00A01789"/>
    <w:rsid w:val="00A03A0D"/>
    <w:rsid w:val="00A12A09"/>
    <w:rsid w:val="00A2116A"/>
    <w:rsid w:val="00A30DB3"/>
    <w:rsid w:val="00A45948"/>
    <w:rsid w:val="00A60BD9"/>
    <w:rsid w:val="00A60C93"/>
    <w:rsid w:val="00A6661B"/>
    <w:rsid w:val="00A677DE"/>
    <w:rsid w:val="00A67BFE"/>
    <w:rsid w:val="00A67F17"/>
    <w:rsid w:val="00A73331"/>
    <w:rsid w:val="00A73F0E"/>
    <w:rsid w:val="00A80C0D"/>
    <w:rsid w:val="00A90CF5"/>
    <w:rsid w:val="00A9246C"/>
    <w:rsid w:val="00A957D0"/>
    <w:rsid w:val="00AA4A16"/>
    <w:rsid w:val="00AB1940"/>
    <w:rsid w:val="00AB27A1"/>
    <w:rsid w:val="00AB2CC4"/>
    <w:rsid w:val="00AB4853"/>
    <w:rsid w:val="00AB6F68"/>
    <w:rsid w:val="00AC31F6"/>
    <w:rsid w:val="00AC3FF2"/>
    <w:rsid w:val="00AC6B9E"/>
    <w:rsid w:val="00AD2C48"/>
    <w:rsid w:val="00AD30B4"/>
    <w:rsid w:val="00AD34F8"/>
    <w:rsid w:val="00AD4EFE"/>
    <w:rsid w:val="00AD7C3B"/>
    <w:rsid w:val="00AE0FFA"/>
    <w:rsid w:val="00AE1D77"/>
    <w:rsid w:val="00AE1FB7"/>
    <w:rsid w:val="00AE5222"/>
    <w:rsid w:val="00AE5F87"/>
    <w:rsid w:val="00AF23A9"/>
    <w:rsid w:val="00B02CEA"/>
    <w:rsid w:val="00B03190"/>
    <w:rsid w:val="00B16219"/>
    <w:rsid w:val="00B26CA7"/>
    <w:rsid w:val="00B3079B"/>
    <w:rsid w:val="00B37043"/>
    <w:rsid w:val="00B4288A"/>
    <w:rsid w:val="00B467B5"/>
    <w:rsid w:val="00B4689F"/>
    <w:rsid w:val="00B577E2"/>
    <w:rsid w:val="00B62870"/>
    <w:rsid w:val="00B6485C"/>
    <w:rsid w:val="00B66867"/>
    <w:rsid w:val="00B673DB"/>
    <w:rsid w:val="00B72E46"/>
    <w:rsid w:val="00B7449B"/>
    <w:rsid w:val="00B76A66"/>
    <w:rsid w:val="00B77392"/>
    <w:rsid w:val="00B84234"/>
    <w:rsid w:val="00B86F0D"/>
    <w:rsid w:val="00B95EBE"/>
    <w:rsid w:val="00BA3415"/>
    <w:rsid w:val="00BA442F"/>
    <w:rsid w:val="00BB0525"/>
    <w:rsid w:val="00BB08CD"/>
    <w:rsid w:val="00BB0B4B"/>
    <w:rsid w:val="00BB0D4E"/>
    <w:rsid w:val="00BC0BD2"/>
    <w:rsid w:val="00BC237A"/>
    <w:rsid w:val="00BC4F25"/>
    <w:rsid w:val="00BC5EE9"/>
    <w:rsid w:val="00BD0B52"/>
    <w:rsid w:val="00BD1556"/>
    <w:rsid w:val="00BD1E01"/>
    <w:rsid w:val="00BD2348"/>
    <w:rsid w:val="00BF265B"/>
    <w:rsid w:val="00C00704"/>
    <w:rsid w:val="00C10E32"/>
    <w:rsid w:val="00C14E1B"/>
    <w:rsid w:val="00C173CD"/>
    <w:rsid w:val="00C20CDE"/>
    <w:rsid w:val="00C21CA8"/>
    <w:rsid w:val="00C21E41"/>
    <w:rsid w:val="00C255D5"/>
    <w:rsid w:val="00C30A98"/>
    <w:rsid w:val="00C31BEB"/>
    <w:rsid w:val="00C321C7"/>
    <w:rsid w:val="00C33A2F"/>
    <w:rsid w:val="00C33D95"/>
    <w:rsid w:val="00C33FF5"/>
    <w:rsid w:val="00C44A95"/>
    <w:rsid w:val="00C4583D"/>
    <w:rsid w:val="00C46C99"/>
    <w:rsid w:val="00C60DE6"/>
    <w:rsid w:val="00C61625"/>
    <w:rsid w:val="00C61D23"/>
    <w:rsid w:val="00C62651"/>
    <w:rsid w:val="00C63446"/>
    <w:rsid w:val="00C64612"/>
    <w:rsid w:val="00C67AEB"/>
    <w:rsid w:val="00C70F63"/>
    <w:rsid w:val="00C73B4C"/>
    <w:rsid w:val="00C80CBE"/>
    <w:rsid w:val="00C8373D"/>
    <w:rsid w:val="00C850F1"/>
    <w:rsid w:val="00C8721F"/>
    <w:rsid w:val="00C95464"/>
    <w:rsid w:val="00CA2502"/>
    <w:rsid w:val="00CA3D2E"/>
    <w:rsid w:val="00CA5037"/>
    <w:rsid w:val="00CA6F58"/>
    <w:rsid w:val="00CB0DCB"/>
    <w:rsid w:val="00CB7EF6"/>
    <w:rsid w:val="00CC0461"/>
    <w:rsid w:val="00CC3E68"/>
    <w:rsid w:val="00CD79C3"/>
    <w:rsid w:val="00CF01F1"/>
    <w:rsid w:val="00CF2185"/>
    <w:rsid w:val="00CF573A"/>
    <w:rsid w:val="00CF7618"/>
    <w:rsid w:val="00D077E1"/>
    <w:rsid w:val="00D10D75"/>
    <w:rsid w:val="00D129CA"/>
    <w:rsid w:val="00D16B12"/>
    <w:rsid w:val="00D1760A"/>
    <w:rsid w:val="00D17F92"/>
    <w:rsid w:val="00D22C40"/>
    <w:rsid w:val="00D32352"/>
    <w:rsid w:val="00D32F79"/>
    <w:rsid w:val="00D373DC"/>
    <w:rsid w:val="00D4549A"/>
    <w:rsid w:val="00D540EB"/>
    <w:rsid w:val="00D603FA"/>
    <w:rsid w:val="00D63CE5"/>
    <w:rsid w:val="00D67DA9"/>
    <w:rsid w:val="00D71679"/>
    <w:rsid w:val="00D74B7C"/>
    <w:rsid w:val="00D75298"/>
    <w:rsid w:val="00D75F48"/>
    <w:rsid w:val="00D77B80"/>
    <w:rsid w:val="00D80828"/>
    <w:rsid w:val="00D81706"/>
    <w:rsid w:val="00D82AF7"/>
    <w:rsid w:val="00D84FE0"/>
    <w:rsid w:val="00D85AF0"/>
    <w:rsid w:val="00D86BEC"/>
    <w:rsid w:val="00D922FC"/>
    <w:rsid w:val="00D97805"/>
    <w:rsid w:val="00DA07AC"/>
    <w:rsid w:val="00DA1807"/>
    <w:rsid w:val="00DB38B3"/>
    <w:rsid w:val="00DB3B4D"/>
    <w:rsid w:val="00DB4DF1"/>
    <w:rsid w:val="00DB61F9"/>
    <w:rsid w:val="00DC2DA8"/>
    <w:rsid w:val="00DD0D34"/>
    <w:rsid w:val="00DE10A8"/>
    <w:rsid w:val="00DE7F1E"/>
    <w:rsid w:val="00E16BA7"/>
    <w:rsid w:val="00E21DCF"/>
    <w:rsid w:val="00E2492B"/>
    <w:rsid w:val="00E25A52"/>
    <w:rsid w:val="00E25B1A"/>
    <w:rsid w:val="00E327AD"/>
    <w:rsid w:val="00E330A9"/>
    <w:rsid w:val="00E4308C"/>
    <w:rsid w:val="00E51163"/>
    <w:rsid w:val="00E513B3"/>
    <w:rsid w:val="00E56E5C"/>
    <w:rsid w:val="00E56F32"/>
    <w:rsid w:val="00E574A9"/>
    <w:rsid w:val="00E601B6"/>
    <w:rsid w:val="00E65462"/>
    <w:rsid w:val="00E657D9"/>
    <w:rsid w:val="00E705EF"/>
    <w:rsid w:val="00E7280C"/>
    <w:rsid w:val="00E74539"/>
    <w:rsid w:val="00E94034"/>
    <w:rsid w:val="00E97D29"/>
    <w:rsid w:val="00EA347E"/>
    <w:rsid w:val="00EA34BB"/>
    <w:rsid w:val="00EA392C"/>
    <w:rsid w:val="00EA6D68"/>
    <w:rsid w:val="00EA770D"/>
    <w:rsid w:val="00EA7AD8"/>
    <w:rsid w:val="00EB03A3"/>
    <w:rsid w:val="00EB1691"/>
    <w:rsid w:val="00EC072B"/>
    <w:rsid w:val="00ED6D65"/>
    <w:rsid w:val="00EE261E"/>
    <w:rsid w:val="00EE3D71"/>
    <w:rsid w:val="00EE4638"/>
    <w:rsid w:val="00EE4ADE"/>
    <w:rsid w:val="00EE7032"/>
    <w:rsid w:val="00EE7B2B"/>
    <w:rsid w:val="00EF118C"/>
    <w:rsid w:val="00EF240A"/>
    <w:rsid w:val="00EF7089"/>
    <w:rsid w:val="00F03B70"/>
    <w:rsid w:val="00F11C79"/>
    <w:rsid w:val="00F13D98"/>
    <w:rsid w:val="00F16246"/>
    <w:rsid w:val="00F25743"/>
    <w:rsid w:val="00F34247"/>
    <w:rsid w:val="00F36332"/>
    <w:rsid w:val="00F36CD1"/>
    <w:rsid w:val="00F45FFA"/>
    <w:rsid w:val="00F4758A"/>
    <w:rsid w:val="00F561C5"/>
    <w:rsid w:val="00F613CD"/>
    <w:rsid w:val="00F61CA7"/>
    <w:rsid w:val="00F6254B"/>
    <w:rsid w:val="00F6263C"/>
    <w:rsid w:val="00F64BAB"/>
    <w:rsid w:val="00F86673"/>
    <w:rsid w:val="00F9298D"/>
    <w:rsid w:val="00F9301A"/>
    <w:rsid w:val="00FA10C3"/>
    <w:rsid w:val="00FA4B89"/>
    <w:rsid w:val="00FB2610"/>
    <w:rsid w:val="00FB27AD"/>
    <w:rsid w:val="00FB2F92"/>
    <w:rsid w:val="00FB5B43"/>
    <w:rsid w:val="00FB5D0F"/>
    <w:rsid w:val="00FC02C9"/>
    <w:rsid w:val="00FC2240"/>
    <w:rsid w:val="00FC357B"/>
    <w:rsid w:val="00FD231F"/>
    <w:rsid w:val="00FD3ACC"/>
    <w:rsid w:val="00FE2C67"/>
    <w:rsid w:val="00FE2D3B"/>
    <w:rsid w:val="00FE4CDE"/>
    <w:rsid w:val="00FE579F"/>
    <w:rsid w:val="00FF4661"/>
    <w:rsid w:val="00FF47A8"/>
    <w:rsid w:val="00FF6D67"/>
    <w:rsid w:val="01740798"/>
    <w:rsid w:val="04754334"/>
    <w:rsid w:val="119D6F19"/>
    <w:rsid w:val="164E069A"/>
    <w:rsid w:val="165361F1"/>
    <w:rsid w:val="19D9085E"/>
    <w:rsid w:val="1AAF11F8"/>
    <w:rsid w:val="1F5505DF"/>
    <w:rsid w:val="20AA2634"/>
    <w:rsid w:val="21F0742D"/>
    <w:rsid w:val="221A35F3"/>
    <w:rsid w:val="22E934B6"/>
    <w:rsid w:val="230D12F1"/>
    <w:rsid w:val="28B07392"/>
    <w:rsid w:val="3228550C"/>
    <w:rsid w:val="33705D93"/>
    <w:rsid w:val="34C1218F"/>
    <w:rsid w:val="37372F5C"/>
    <w:rsid w:val="388E01A2"/>
    <w:rsid w:val="3C5B0B1F"/>
    <w:rsid w:val="4443132F"/>
    <w:rsid w:val="456730CA"/>
    <w:rsid w:val="4E4F3174"/>
    <w:rsid w:val="51BC65F8"/>
    <w:rsid w:val="54072B33"/>
    <w:rsid w:val="54657334"/>
    <w:rsid w:val="5480428E"/>
    <w:rsid w:val="56B643E6"/>
    <w:rsid w:val="5ADB1CC3"/>
    <w:rsid w:val="5C930D84"/>
    <w:rsid w:val="5E6F2A87"/>
    <w:rsid w:val="6349773F"/>
    <w:rsid w:val="63A12EB0"/>
    <w:rsid w:val="652E5872"/>
    <w:rsid w:val="688438BE"/>
    <w:rsid w:val="69026755"/>
    <w:rsid w:val="69716544"/>
    <w:rsid w:val="766C074F"/>
    <w:rsid w:val="79865CD2"/>
    <w:rsid w:val="79BE2787"/>
    <w:rsid w:val="7AA93098"/>
    <w:rsid w:val="7B730D8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Times New Roman" w:hAnsi="Times New Roman" w:eastAsia="宋体" w:cs="Times New Roman"/>
      <w:color w:val="000000"/>
      <w:kern w:val="2"/>
      <w:sz w:val="24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subject"/>
    <w:basedOn w:val="3"/>
    <w:next w:val="3"/>
    <w:link w:val="16"/>
    <w:semiHidden/>
    <w:unhideWhenUsed/>
    <w:qFormat/>
    <w:uiPriority w:val="99"/>
    <w:pPr>
      <w:widowControl/>
    </w:pPr>
    <w:rPr>
      <w:rFonts w:ascii="Times New Roman" w:hAnsi="Times New Roman" w:eastAsia="宋体" w:cs="Times New Roman"/>
      <w:b/>
      <w:bCs/>
      <w:color w:val="000000"/>
      <w:sz w:val="24"/>
    </w:rPr>
  </w:style>
  <w:style w:type="paragraph" w:styleId="3">
    <w:name w:val="annotation text"/>
    <w:basedOn w:val="1"/>
    <w:link w:val="13"/>
    <w:semiHidden/>
    <w:unhideWhenUsed/>
    <w:qFormat/>
    <w:uiPriority w:val="99"/>
    <w:pPr>
      <w:widowControl w:val="0"/>
      <w:jc w:val="left"/>
    </w:pPr>
    <w:rPr>
      <w:rFonts w:asciiTheme="minorHAnsi" w:hAnsiTheme="minorHAnsi" w:eastAsiaTheme="minorEastAsia" w:cstheme="minorBidi"/>
      <w:color w:val="auto"/>
      <w:sz w:val="21"/>
    </w:rPr>
  </w:style>
  <w:style w:type="paragraph" w:styleId="4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annotation reference"/>
    <w:basedOn w:val="7"/>
    <w:semiHidden/>
    <w:unhideWhenUsed/>
    <w:qFormat/>
    <w:uiPriority w:val="99"/>
    <w:rPr>
      <w:sz w:val="21"/>
      <w:szCs w:val="21"/>
    </w:rPr>
  </w:style>
  <w:style w:type="character" w:customStyle="1" w:styleId="10">
    <w:name w:val="页眉 Char"/>
    <w:basedOn w:val="7"/>
    <w:link w:val="6"/>
    <w:qFormat/>
    <w:uiPriority w:val="99"/>
    <w:rPr>
      <w:rFonts w:eastAsia="宋体"/>
      <w:sz w:val="18"/>
      <w:szCs w:val="18"/>
    </w:rPr>
  </w:style>
  <w:style w:type="character" w:customStyle="1" w:styleId="11">
    <w:name w:val="页脚 Char"/>
    <w:basedOn w:val="7"/>
    <w:link w:val="5"/>
    <w:qFormat/>
    <w:uiPriority w:val="99"/>
    <w:rPr>
      <w:rFonts w:eastAsia="宋体"/>
      <w:sz w:val="18"/>
      <w:szCs w:val="18"/>
    </w:rPr>
  </w:style>
  <w:style w:type="paragraph" w:styleId="12">
    <w:name w:val="List Paragraph"/>
    <w:basedOn w:val="1"/>
    <w:qFormat/>
    <w:uiPriority w:val="99"/>
    <w:pPr>
      <w:ind w:firstLine="420" w:firstLineChars="200"/>
    </w:pPr>
  </w:style>
  <w:style w:type="character" w:customStyle="1" w:styleId="13">
    <w:name w:val="批注文字 Char"/>
    <w:basedOn w:val="7"/>
    <w:link w:val="3"/>
    <w:semiHidden/>
    <w:qFormat/>
    <w:uiPriority w:val="99"/>
    <w:rPr>
      <w:rFonts w:asciiTheme="minorHAnsi" w:hAnsiTheme="minorHAnsi" w:eastAsiaTheme="minorEastAsia" w:cstheme="minorBidi"/>
      <w:color w:val="auto"/>
      <w:sz w:val="21"/>
      <w:szCs w:val="22"/>
    </w:rPr>
  </w:style>
  <w:style w:type="character" w:customStyle="1" w:styleId="14">
    <w:name w:val="批注框文本 Char"/>
    <w:basedOn w:val="7"/>
    <w:link w:val="4"/>
    <w:semiHidden/>
    <w:qFormat/>
    <w:uiPriority w:val="99"/>
    <w:rPr>
      <w:rFonts w:eastAsia="宋体"/>
      <w:sz w:val="18"/>
      <w:szCs w:val="18"/>
    </w:rPr>
  </w:style>
  <w:style w:type="paragraph" w:customStyle="1" w:styleId="15">
    <w:name w:val="修订1"/>
    <w:hidden/>
    <w:semiHidden/>
    <w:qFormat/>
    <w:uiPriority w:val="99"/>
    <w:rPr>
      <w:rFonts w:ascii="Times New Roman" w:hAnsi="Times New Roman" w:eastAsia="宋体" w:cs="Times New Roman"/>
      <w:color w:val="000000"/>
      <w:kern w:val="2"/>
      <w:sz w:val="24"/>
      <w:szCs w:val="22"/>
      <w:lang w:val="en-US" w:eastAsia="zh-CN" w:bidi="ar-SA"/>
    </w:rPr>
  </w:style>
  <w:style w:type="character" w:customStyle="1" w:styleId="16">
    <w:name w:val="批注主题 Char"/>
    <w:basedOn w:val="13"/>
    <w:link w:val="2"/>
    <w:semiHidden/>
    <w:qFormat/>
    <w:uiPriority w:val="99"/>
    <w:rPr>
      <w:rFonts w:eastAsia="宋体" w:asciiTheme="minorHAnsi" w:hAnsiTheme="minorHAnsi" w:cstheme="minorBidi"/>
      <w:b/>
      <w:bCs/>
      <w:color w:val="auto"/>
      <w:sz w:val="24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B6E4D00-0FCC-4835-8ECC-74D97EC0406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8</Pages>
  <Words>391</Words>
  <Characters>2229</Characters>
  <Lines>18</Lines>
  <Paragraphs>5</Paragraphs>
  <TotalTime>1</TotalTime>
  <ScaleCrop>false</ScaleCrop>
  <LinksUpToDate>false</LinksUpToDate>
  <CharactersWithSpaces>2615</CharactersWithSpaces>
  <Application>WPS Office_10.8.2.6990_F1E327BC-269C-435d-A152-05C5408002CA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2020-02-25T07:17:00Z</dcterms:created>
  <dc:creator>Qu Yujie</dc:creator>
  <cp:lastModifiedBy>徐娟娟</cp:lastModifiedBy>
  <cp:lastPrinted>2020-05-29T09:17:00Z</cp:lastPrinted>
  <dcterms:modified xsi:type="dcterms:W3CDTF">2020-06-02T03:41:19Z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</Properties>
</file>